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tabs>
          <w:tab w:val="left" w:pos="2340"/>
        </w:tabs>
        <w:jc w:val="center"/>
        <w:rPr>
          <w:rFonts w:ascii="仿宋_GB2312" w:eastAsia="仿宋_GB2312"/>
          <w:bCs/>
          <w:szCs w:val="21"/>
        </w:rPr>
      </w:pPr>
    </w:p>
    <w:p>
      <w:pPr>
        <w:rPr>
          <w:rFonts w:eastAsia="仿宋_GB2312"/>
          <w:sz w:val="28"/>
          <w:szCs w:val="32"/>
        </w:rPr>
      </w:pPr>
      <w:r>
        <w:rPr>
          <w:rFonts w:hint="eastAsia" w:ascii="黑体" w:eastAsia="黑体"/>
          <w:b/>
          <w:sz w:val="44"/>
        </w:rPr>
        <w:t xml:space="preserve">            </w:t>
      </w:r>
      <w:r>
        <w:rPr>
          <w:rFonts w:hint="eastAsia" w:eastAsia="仿宋_GB2312"/>
          <w:sz w:val="32"/>
          <w:szCs w:val="32"/>
        </w:rPr>
        <w:t>南艺人字</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 xml:space="preserve">〕 </w:t>
      </w:r>
      <w:r>
        <w:rPr>
          <w:rFonts w:hint="eastAsia" w:eastAsia="仿宋_GB2312"/>
          <w:sz w:val="32"/>
          <w:szCs w:val="32"/>
        </w:rPr>
        <w:t>号</w:t>
      </w:r>
    </w:p>
    <w:p>
      <w:pPr>
        <w:rPr>
          <w:rFonts w:eastAsia="仿宋_GB2312"/>
          <w:sz w:val="28"/>
          <w:szCs w:val="32"/>
        </w:rPr>
      </w:pPr>
    </w:p>
    <w:p>
      <w:pPr>
        <w:widowControl/>
        <w:spacing w:line="80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南京艺术学院关于做好20</w:t>
      </w:r>
      <w:r>
        <w:rPr>
          <w:rFonts w:hint="eastAsia" w:ascii="方正小标宋简体" w:hAnsi="方正小标宋简体" w:eastAsia="方正小标宋简体" w:cs="方正小标宋简体"/>
          <w:b w:val="0"/>
          <w:bCs/>
          <w:kern w:val="0"/>
          <w:sz w:val="44"/>
          <w:szCs w:val="44"/>
          <w:lang w:val="en-US" w:eastAsia="zh-CN"/>
        </w:rPr>
        <w:t>20</w:t>
      </w:r>
      <w:r>
        <w:rPr>
          <w:rFonts w:hint="eastAsia" w:ascii="方正小标宋简体" w:hAnsi="方正小标宋简体" w:eastAsia="方正小标宋简体" w:cs="方正小标宋简体"/>
          <w:b w:val="0"/>
          <w:bCs/>
          <w:kern w:val="0"/>
          <w:sz w:val="44"/>
          <w:szCs w:val="44"/>
        </w:rPr>
        <w:t>年中青年骨干教师英语培训报名工作的通知</w:t>
      </w:r>
    </w:p>
    <w:p>
      <w:pPr>
        <w:widowControl/>
        <w:jc w:val="left"/>
        <w:rPr>
          <w:rFonts w:ascii="仿宋_GB2312" w:hAnsi="宋体" w:eastAsia="仿宋_GB2312" w:cs="宋体"/>
          <w:kern w:val="0"/>
          <w:sz w:val="24"/>
          <w:szCs w:val="32"/>
        </w:rPr>
      </w:pPr>
    </w:p>
    <w:p>
      <w:pPr>
        <w:widowControl/>
        <w:jc w:val="left"/>
        <w:rPr>
          <w:rFonts w:ascii="仿宋_GB2312" w:hAnsi="宋体" w:eastAsia="仿宋_GB2312" w:cs="宋体"/>
          <w:kern w:val="0"/>
          <w:sz w:val="24"/>
          <w:szCs w:val="32"/>
        </w:rPr>
      </w:pPr>
    </w:p>
    <w:p>
      <w:pPr>
        <w:widowControl/>
        <w:shd w:val="clear" w:color="auto" w:fill="FFFFFF"/>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各部门、直属单位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lang w:val="en-US" w:eastAsia="zh-CN"/>
        </w:rPr>
        <w:t>二级院</w:t>
      </w:r>
      <w:r>
        <w:rPr>
          <w:rFonts w:hint="default" w:ascii="Times New Roman" w:hAnsi="Times New Roman" w:eastAsia="仿宋" w:cs="Times New Roman"/>
          <w:kern w:val="0"/>
          <w:sz w:val="32"/>
          <w:szCs w:val="32"/>
        </w:rPr>
        <w:t>（校）：</w:t>
      </w:r>
    </w:p>
    <w:p>
      <w:pPr>
        <w:spacing w:line="540" w:lineRule="exact"/>
        <w:ind w:firstLine="645"/>
        <w:rPr>
          <w:rFonts w:hint="eastAsia" w:ascii="Calibri" w:hAnsi="Calibri" w:eastAsia="仿宋_GB2312" w:cs="Times New Roman"/>
          <w:color w:val="000000"/>
          <w:sz w:val="32"/>
          <w:szCs w:val="32"/>
        </w:rPr>
      </w:pPr>
      <w:r>
        <w:rPr>
          <w:rFonts w:hint="eastAsia" w:ascii="Calibri" w:hAnsi="Calibri" w:eastAsia="仿宋_GB2312" w:cs="Times New Roman"/>
          <w:color w:val="000000"/>
          <w:sz w:val="32"/>
          <w:szCs w:val="32"/>
        </w:rPr>
        <w:t>根据《省教育厅关于做好2020年度本科院校教师培训工作的通知》（苏教师</w:t>
      </w:r>
      <w:r>
        <w:rPr>
          <w:rFonts w:hint="eastAsia" w:ascii="Calibri" w:hAnsi="Calibri" w:eastAsia="仿宋_GB2312" w:cs="Times New Roman"/>
          <w:color w:val="000000"/>
          <w:sz w:val="32"/>
          <w:szCs w:val="32"/>
          <w:lang w:val="en-US" w:eastAsia="zh-CN"/>
        </w:rPr>
        <w:t>函</w:t>
      </w:r>
      <w:r>
        <w:rPr>
          <w:rFonts w:hint="eastAsia" w:ascii="Calibri" w:hAnsi="Calibri" w:eastAsia="仿宋_GB2312" w:cs="Times New Roman"/>
          <w:color w:val="000000"/>
          <w:sz w:val="32"/>
          <w:szCs w:val="32"/>
        </w:rPr>
        <w:t>〔20</w:t>
      </w:r>
      <w:r>
        <w:rPr>
          <w:rFonts w:hint="eastAsia" w:ascii="Calibri" w:hAnsi="Calibri" w:eastAsia="仿宋_GB2312" w:cs="Times New Roman"/>
          <w:color w:val="000000"/>
          <w:sz w:val="32"/>
          <w:szCs w:val="32"/>
          <w:lang w:val="en-US" w:eastAsia="zh-CN"/>
        </w:rPr>
        <w:t>20</w:t>
      </w:r>
      <w:r>
        <w:rPr>
          <w:rFonts w:hint="eastAsia" w:ascii="Calibri" w:hAnsi="Calibri" w:eastAsia="仿宋_GB2312" w:cs="Times New Roman"/>
          <w:color w:val="000000"/>
          <w:sz w:val="32"/>
          <w:szCs w:val="32"/>
        </w:rPr>
        <w:t>〕</w:t>
      </w:r>
      <w:r>
        <w:rPr>
          <w:rFonts w:hint="eastAsia" w:ascii="Calibri" w:hAnsi="Calibri" w:eastAsia="仿宋_GB2312" w:cs="Times New Roman"/>
          <w:color w:val="000000"/>
          <w:sz w:val="32"/>
          <w:szCs w:val="32"/>
          <w:lang w:val="en-US" w:eastAsia="zh-CN"/>
        </w:rPr>
        <w:t>24</w:t>
      </w:r>
      <w:r>
        <w:rPr>
          <w:rFonts w:hint="eastAsia" w:ascii="Calibri" w:hAnsi="Calibri" w:eastAsia="仿宋_GB2312" w:cs="Times New Roman"/>
          <w:color w:val="000000"/>
          <w:sz w:val="32"/>
          <w:szCs w:val="32"/>
        </w:rPr>
        <w:t>号），现将我校20</w:t>
      </w:r>
      <w:r>
        <w:rPr>
          <w:rFonts w:hint="eastAsia" w:ascii="Calibri" w:hAnsi="Calibri" w:eastAsia="仿宋_GB2312" w:cs="Times New Roman"/>
          <w:color w:val="000000"/>
          <w:sz w:val="32"/>
          <w:szCs w:val="32"/>
          <w:lang w:val="en-US" w:eastAsia="zh-CN"/>
        </w:rPr>
        <w:t>20</w:t>
      </w:r>
      <w:r>
        <w:rPr>
          <w:rFonts w:hint="eastAsia" w:ascii="Calibri" w:hAnsi="Calibri" w:eastAsia="仿宋_GB2312" w:cs="Times New Roman"/>
          <w:color w:val="000000"/>
          <w:sz w:val="32"/>
          <w:szCs w:val="32"/>
        </w:rPr>
        <w:t>年中青年骨干教师英语培训报名工作的有关事项通知如下：</w:t>
      </w:r>
    </w:p>
    <w:p>
      <w:pPr>
        <w:spacing w:line="540" w:lineRule="exact"/>
        <w:ind w:firstLine="645"/>
        <w:rPr>
          <w:rFonts w:hint="eastAsia" w:ascii="Calibri" w:hAnsi="Calibri" w:eastAsia="仿宋_GB2312" w:cs="Times New Roman"/>
          <w:color w:val="000000"/>
          <w:sz w:val="32"/>
          <w:szCs w:val="32"/>
        </w:rPr>
      </w:pPr>
      <w:r>
        <w:rPr>
          <w:rFonts w:hint="eastAsia" w:ascii="Calibri" w:hAnsi="Calibri" w:eastAsia="仿宋_GB2312" w:cs="Times New Roman"/>
          <w:color w:val="000000"/>
          <w:sz w:val="32"/>
          <w:szCs w:val="32"/>
        </w:rPr>
        <w:t>培训对象为拟申请赴境外研修的中青年骨干教师，强化参培人员英语听、说、读、写能力和PETS5考试通过率，使其能顺利赴境外开展科学研究和学术交流。我校推荐指标为</w:t>
      </w:r>
      <w:r>
        <w:rPr>
          <w:rFonts w:hint="eastAsia" w:ascii="Calibri" w:hAnsi="Calibri" w:eastAsia="仿宋_GB2312" w:cs="Times New Roman"/>
          <w:color w:val="000000"/>
          <w:sz w:val="32"/>
          <w:szCs w:val="32"/>
          <w:lang w:val="en-US" w:eastAsia="zh-CN"/>
        </w:rPr>
        <w:t>4</w:t>
      </w:r>
      <w:r>
        <w:rPr>
          <w:rFonts w:hint="eastAsia" w:ascii="Calibri" w:hAnsi="Calibri" w:eastAsia="仿宋_GB2312" w:cs="Times New Roman"/>
          <w:color w:val="000000"/>
          <w:sz w:val="32"/>
          <w:szCs w:val="32"/>
        </w:rPr>
        <w:t>人，培训时间</w:t>
      </w:r>
      <w:r>
        <w:rPr>
          <w:rFonts w:hint="eastAsia" w:ascii="Calibri" w:hAnsi="Calibri" w:eastAsia="仿宋_GB2312" w:cs="Times New Roman"/>
          <w:color w:val="000000"/>
          <w:sz w:val="32"/>
          <w:szCs w:val="32"/>
          <w:lang w:val="en-US" w:eastAsia="zh-CN"/>
        </w:rPr>
        <w:t>1</w:t>
      </w:r>
      <w:r>
        <w:rPr>
          <w:rFonts w:hint="eastAsia" w:ascii="Calibri" w:hAnsi="Calibri" w:eastAsia="仿宋_GB2312" w:cs="Times New Roman"/>
          <w:color w:val="000000"/>
          <w:sz w:val="32"/>
          <w:szCs w:val="32"/>
        </w:rPr>
        <w:t>个月</w:t>
      </w:r>
      <w:r>
        <w:rPr>
          <w:rFonts w:hint="eastAsia" w:ascii="Calibri" w:hAnsi="Calibri" w:eastAsia="仿宋_GB2312" w:cs="Times New Roman"/>
          <w:color w:val="000000"/>
          <w:sz w:val="32"/>
          <w:szCs w:val="32"/>
          <w:lang w:eastAsia="zh-CN"/>
        </w:rPr>
        <w:t>（</w:t>
      </w:r>
      <w:r>
        <w:rPr>
          <w:rFonts w:hint="eastAsia" w:ascii="Calibri" w:hAnsi="Calibri" w:eastAsia="仿宋_GB2312" w:cs="Times New Roman"/>
          <w:color w:val="000000"/>
          <w:sz w:val="32"/>
          <w:szCs w:val="32"/>
          <w:lang w:val="en-US" w:eastAsia="zh-CN"/>
        </w:rPr>
        <w:t>脱产</w:t>
      </w:r>
      <w:r>
        <w:rPr>
          <w:rFonts w:hint="eastAsia" w:ascii="Calibri" w:hAnsi="Calibri" w:eastAsia="仿宋_GB2312" w:cs="Times New Roman"/>
          <w:color w:val="000000"/>
          <w:sz w:val="32"/>
          <w:szCs w:val="32"/>
          <w:lang w:eastAsia="zh-CN"/>
        </w:rPr>
        <w:t>）</w:t>
      </w:r>
      <w:r>
        <w:rPr>
          <w:rFonts w:hint="eastAsia" w:ascii="Calibri" w:hAnsi="Calibri" w:eastAsia="仿宋_GB2312" w:cs="Times New Roman"/>
          <w:color w:val="000000"/>
          <w:sz w:val="32"/>
          <w:szCs w:val="32"/>
        </w:rPr>
        <w:t>。培训费5</w:t>
      </w:r>
      <w:r>
        <w:rPr>
          <w:rFonts w:hint="eastAsia" w:ascii="Calibri" w:hAnsi="Calibri" w:eastAsia="仿宋_GB2312" w:cs="Times New Roman"/>
          <w:color w:val="000000"/>
          <w:sz w:val="32"/>
          <w:szCs w:val="32"/>
          <w:lang w:val="en-US" w:eastAsia="zh-CN"/>
        </w:rPr>
        <w:t>5</w:t>
      </w:r>
      <w:r>
        <w:rPr>
          <w:rFonts w:hint="eastAsia" w:ascii="Calibri" w:hAnsi="Calibri" w:eastAsia="仿宋_GB2312" w:cs="Times New Roman"/>
          <w:color w:val="000000"/>
          <w:sz w:val="32"/>
          <w:szCs w:val="32"/>
        </w:rPr>
        <w:t>00元/人</w:t>
      </w:r>
      <w:bookmarkStart w:id="0" w:name="_GoBack"/>
      <w:bookmarkEnd w:id="0"/>
      <w:r>
        <w:rPr>
          <w:rFonts w:hint="eastAsia" w:ascii="Calibri" w:hAnsi="Calibri" w:eastAsia="仿宋_GB2312" w:cs="Times New Roman"/>
          <w:color w:val="000000"/>
          <w:sz w:val="32"/>
          <w:szCs w:val="32"/>
        </w:rPr>
        <w:t>，培训经费由省财政直接拨付，个人无需承担，学员往返交通费回单位按规定报销。</w:t>
      </w:r>
    </w:p>
    <w:p>
      <w:pPr>
        <w:widowControl/>
        <w:shd w:val="clear" w:color="auto" w:fill="FFFFFF"/>
        <w:ind w:firstLine="640" w:firstLineChars="200"/>
        <w:outlineLvl w:val="0"/>
        <w:rPr>
          <w:rFonts w:hint="eastAsia" w:ascii="Calibri" w:hAnsi="Calibri" w:eastAsia="仿宋_GB2312" w:cs="Times New Roman"/>
          <w:color w:val="000000"/>
          <w:sz w:val="32"/>
          <w:szCs w:val="32"/>
        </w:rPr>
      </w:pPr>
      <w:r>
        <w:rPr>
          <w:rFonts w:hint="eastAsia" w:ascii="Calibri" w:hAnsi="Calibri" w:eastAsia="仿宋_GB2312" w:cs="Times New Roman"/>
          <w:color w:val="000000"/>
          <w:sz w:val="32"/>
          <w:szCs w:val="32"/>
        </w:rPr>
        <w:t>现将</w:t>
      </w:r>
      <w:r>
        <w:rPr>
          <w:rFonts w:hint="default" w:ascii="Calibri" w:hAnsi="Calibri" w:eastAsia="仿宋_GB2312" w:cs="Times New Roman"/>
          <w:color w:val="000000"/>
          <w:sz w:val="32"/>
          <w:szCs w:val="32"/>
          <w:lang w:val="en-US" w:eastAsia="zh-CN"/>
        </w:rPr>
        <w:t>国家公派出国留学外语合格条件</w:t>
      </w:r>
      <w:r>
        <w:rPr>
          <w:rFonts w:hint="eastAsia" w:ascii="Calibri" w:hAnsi="Calibri" w:eastAsia="仿宋_GB2312" w:cs="Times New Roman"/>
          <w:color w:val="000000"/>
          <w:sz w:val="32"/>
          <w:szCs w:val="32"/>
          <w:lang w:val="en-US" w:eastAsia="zh-CN"/>
        </w:rPr>
        <w:t>和</w:t>
      </w:r>
      <w:r>
        <w:rPr>
          <w:rFonts w:eastAsia="仿宋_GB2312"/>
          <w:color w:val="000000"/>
          <w:sz w:val="32"/>
          <w:szCs w:val="32"/>
        </w:rPr>
        <w:t>江苏省高校优秀中青年教师境外研修</w:t>
      </w:r>
      <w:r>
        <w:rPr>
          <w:rFonts w:hint="eastAsia" w:eastAsia="仿宋_GB2312"/>
          <w:color w:val="000000"/>
          <w:sz w:val="32"/>
          <w:szCs w:val="32"/>
          <w:lang w:val="en-US" w:eastAsia="zh-CN"/>
        </w:rPr>
        <w:t>外语合格条件</w:t>
      </w:r>
      <w:r>
        <w:rPr>
          <w:rFonts w:hint="eastAsia" w:ascii="Calibri" w:hAnsi="Calibri" w:eastAsia="仿宋_GB2312" w:cs="Times New Roman"/>
          <w:color w:val="000000"/>
          <w:sz w:val="32"/>
          <w:szCs w:val="32"/>
        </w:rPr>
        <w:t>附后（附件</w:t>
      </w:r>
      <w:r>
        <w:rPr>
          <w:rFonts w:hint="eastAsia" w:ascii="Calibri" w:hAnsi="Calibri" w:eastAsia="仿宋_GB2312" w:cs="Times New Roman"/>
          <w:color w:val="000000"/>
          <w:sz w:val="32"/>
          <w:szCs w:val="32"/>
          <w:lang w:val="en-US" w:eastAsia="zh-CN"/>
        </w:rPr>
        <w:t>2、3</w:t>
      </w:r>
      <w:r>
        <w:rPr>
          <w:rFonts w:hint="eastAsia" w:ascii="Calibri" w:hAnsi="Calibri" w:eastAsia="仿宋_GB2312" w:cs="Times New Roman"/>
          <w:color w:val="000000"/>
          <w:sz w:val="32"/>
          <w:szCs w:val="32"/>
        </w:rPr>
        <w:t>），请报名人员参考。</w:t>
      </w:r>
    </w:p>
    <w:p>
      <w:pPr>
        <w:spacing w:line="540" w:lineRule="exact"/>
        <w:ind w:firstLine="645"/>
        <w:rPr>
          <w:rFonts w:hint="eastAsia" w:ascii="Calibri" w:hAnsi="Calibri" w:eastAsia="仿宋_GB2312" w:cs="Times New Roman"/>
          <w:color w:val="000000"/>
          <w:sz w:val="32"/>
          <w:szCs w:val="32"/>
        </w:rPr>
      </w:pPr>
      <w:r>
        <w:rPr>
          <w:rFonts w:hint="eastAsia" w:ascii="Calibri" w:hAnsi="Calibri" w:eastAsia="仿宋_GB2312" w:cs="Times New Roman"/>
          <w:color w:val="000000"/>
          <w:sz w:val="32"/>
          <w:szCs w:val="32"/>
        </w:rPr>
        <w:t>请各单位于20</w:t>
      </w:r>
      <w:r>
        <w:rPr>
          <w:rFonts w:hint="eastAsia" w:ascii="Calibri" w:hAnsi="Calibri" w:eastAsia="仿宋_GB2312" w:cs="Times New Roman"/>
          <w:color w:val="000000"/>
          <w:sz w:val="32"/>
          <w:szCs w:val="32"/>
          <w:lang w:val="en-US" w:eastAsia="zh-CN"/>
        </w:rPr>
        <w:t>20</w:t>
      </w:r>
      <w:r>
        <w:rPr>
          <w:rFonts w:hint="eastAsia" w:ascii="Calibri" w:hAnsi="Calibri" w:eastAsia="仿宋_GB2312" w:cs="Times New Roman"/>
          <w:color w:val="000000"/>
          <w:sz w:val="32"/>
          <w:szCs w:val="32"/>
        </w:rPr>
        <w:t>年</w:t>
      </w:r>
      <w:r>
        <w:rPr>
          <w:rFonts w:hint="eastAsia" w:ascii="Calibri" w:hAnsi="Calibri" w:eastAsia="仿宋_GB2312" w:cs="Times New Roman"/>
          <w:color w:val="000000"/>
          <w:sz w:val="32"/>
          <w:szCs w:val="32"/>
          <w:lang w:val="en-US" w:eastAsia="zh-CN"/>
        </w:rPr>
        <w:t>9</w:t>
      </w:r>
      <w:r>
        <w:rPr>
          <w:rFonts w:hint="eastAsia" w:ascii="Calibri" w:hAnsi="Calibri" w:eastAsia="仿宋_GB2312" w:cs="Times New Roman"/>
          <w:color w:val="000000"/>
          <w:sz w:val="32"/>
          <w:szCs w:val="32"/>
        </w:rPr>
        <w:t>月</w:t>
      </w:r>
      <w:r>
        <w:rPr>
          <w:rFonts w:hint="eastAsia" w:ascii="Calibri" w:hAnsi="Calibri" w:eastAsia="仿宋_GB2312" w:cs="Times New Roman"/>
          <w:color w:val="000000"/>
          <w:sz w:val="32"/>
          <w:szCs w:val="32"/>
          <w:lang w:val="en-US" w:eastAsia="zh-CN"/>
        </w:rPr>
        <w:t>11</w:t>
      </w:r>
      <w:r>
        <w:rPr>
          <w:rFonts w:hint="eastAsia" w:ascii="Calibri" w:hAnsi="Calibri" w:eastAsia="仿宋_GB2312" w:cs="Times New Roman"/>
          <w:color w:val="000000"/>
          <w:sz w:val="32"/>
          <w:szCs w:val="32"/>
        </w:rPr>
        <w:t>日前将英语培训报名汇总表（附件1</w:t>
      </w:r>
      <w:r>
        <w:rPr>
          <w:rFonts w:hint="eastAsia" w:ascii="Calibri" w:hAnsi="Calibri" w:eastAsia="仿宋_GB2312" w:cs="Times New Roman"/>
          <w:color w:val="000000"/>
          <w:sz w:val="32"/>
          <w:szCs w:val="32"/>
          <w:lang w:eastAsia="zh-CN"/>
        </w:rPr>
        <w:t>，</w:t>
      </w:r>
      <w:r>
        <w:rPr>
          <w:rFonts w:hint="eastAsia" w:ascii="仿宋_GB2312" w:eastAsia="仿宋_GB2312"/>
          <w:sz w:val="32"/>
          <w:szCs w:val="32"/>
        </w:rPr>
        <w:t>电子版</w:t>
      </w:r>
      <w:r>
        <w:rPr>
          <w:rFonts w:hint="eastAsia" w:ascii="仿宋_GB2312" w:eastAsia="仿宋_GB2312"/>
          <w:sz w:val="32"/>
          <w:szCs w:val="32"/>
          <w:lang w:eastAsia="zh-CN"/>
        </w:rPr>
        <w:t>、</w:t>
      </w:r>
      <w:r>
        <w:rPr>
          <w:rFonts w:hint="eastAsia" w:ascii="仿宋_GB2312" w:eastAsia="仿宋_GB2312"/>
          <w:sz w:val="32"/>
          <w:szCs w:val="32"/>
        </w:rPr>
        <w:t>纸质版</w:t>
      </w:r>
      <w:r>
        <w:rPr>
          <w:rFonts w:hint="eastAsia" w:ascii="仿宋_GB2312" w:eastAsia="仿宋_GB2312"/>
          <w:sz w:val="32"/>
          <w:szCs w:val="32"/>
          <w:lang w:val="en-US" w:eastAsia="zh-CN"/>
        </w:rPr>
        <w:t>1</w:t>
      </w:r>
      <w:r>
        <w:rPr>
          <w:rFonts w:hint="eastAsia" w:ascii="仿宋_GB2312" w:eastAsia="仿宋_GB2312"/>
          <w:sz w:val="32"/>
          <w:szCs w:val="32"/>
        </w:rPr>
        <w:t>份）</w:t>
      </w:r>
      <w:r>
        <w:rPr>
          <w:rFonts w:hint="eastAsia" w:ascii="Calibri" w:hAnsi="Calibri" w:eastAsia="仿宋_GB2312" w:cs="Times New Roman"/>
          <w:color w:val="000000"/>
          <w:sz w:val="32"/>
          <w:szCs w:val="32"/>
        </w:rPr>
        <w:t>报人事处224室。联系人：李欣，联系电话：025-83498797。</w:t>
      </w:r>
    </w:p>
    <w:p>
      <w:pPr>
        <w:widowControl/>
        <w:shd w:val="clear" w:color="auto" w:fill="FFFFFF"/>
        <w:outlineLvl w:val="0"/>
        <w:rPr>
          <w:rFonts w:eastAsia="仿宋_GB2312"/>
          <w:color w:val="000000"/>
          <w:sz w:val="32"/>
          <w:szCs w:val="32"/>
        </w:rPr>
      </w:pPr>
    </w:p>
    <w:p>
      <w:pPr>
        <w:widowControl/>
        <w:shd w:val="clear" w:color="auto" w:fill="FFFFFF"/>
        <w:outlineLvl w:val="0"/>
        <w:rPr>
          <w:rFonts w:eastAsia="仿宋_GB2312"/>
          <w:color w:val="000000"/>
          <w:sz w:val="32"/>
          <w:szCs w:val="32"/>
        </w:rPr>
      </w:pPr>
    </w:p>
    <w:p>
      <w:pPr>
        <w:widowControl/>
        <w:shd w:val="clear" w:color="auto" w:fill="FFFFFF"/>
        <w:outlineLvl w:val="0"/>
        <w:rPr>
          <w:rFonts w:eastAsia="仿宋_GB2312"/>
          <w:color w:val="000000"/>
          <w:sz w:val="32"/>
          <w:szCs w:val="32"/>
        </w:rPr>
      </w:pPr>
      <w:r>
        <w:rPr>
          <w:rFonts w:eastAsia="仿宋_GB2312"/>
          <w:color w:val="000000"/>
          <w:sz w:val="32"/>
          <w:szCs w:val="32"/>
        </w:rPr>
        <w:t>附件</w:t>
      </w:r>
      <w:r>
        <w:rPr>
          <w:rFonts w:hint="eastAsia" w:eastAsia="仿宋_GB2312"/>
          <w:color w:val="000000"/>
          <w:sz w:val="32"/>
          <w:szCs w:val="32"/>
        </w:rPr>
        <w:t>1:</w:t>
      </w:r>
      <w:r>
        <w:rPr>
          <w:rFonts w:eastAsia="仿宋_GB2312"/>
          <w:color w:val="000000"/>
          <w:sz w:val="32"/>
          <w:szCs w:val="32"/>
        </w:rPr>
        <w:t xml:space="preserve"> 江苏省高等学校教师英语培训报名汇总表</w:t>
      </w:r>
    </w:p>
    <w:p>
      <w:pPr>
        <w:widowControl/>
        <w:shd w:val="clear" w:color="auto" w:fill="FFFFFF"/>
        <w:outlineLvl w:val="0"/>
        <w:rPr>
          <w:rFonts w:eastAsia="仿宋_GB2312"/>
          <w:color w:val="000000"/>
          <w:sz w:val="32"/>
          <w:szCs w:val="32"/>
        </w:rPr>
      </w:pPr>
      <w:r>
        <w:rPr>
          <w:rFonts w:eastAsia="仿宋_GB2312"/>
          <w:color w:val="000000"/>
          <w:sz w:val="32"/>
          <w:szCs w:val="32"/>
        </w:rPr>
        <w:t>附件</w:t>
      </w:r>
      <w:r>
        <w:rPr>
          <w:rFonts w:hint="eastAsia" w:eastAsia="仿宋_GB2312"/>
          <w:color w:val="000000"/>
          <w:sz w:val="32"/>
          <w:szCs w:val="32"/>
        </w:rPr>
        <w:t>2:</w:t>
      </w:r>
      <w:r>
        <w:rPr>
          <w:rFonts w:eastAsia="仿宋_GB2312"/>
          <w:color w:val="000000"/>
          <w:sz w:val="32"/>
          <w:szCs w:val="32"/>
        </w:rPr>
        <w:t xml:space="preserve"> 国家公派留学访问学者类别外语合格条件</w:t>
      </w:r>
    </w:p>
    <w:p>
      <w:pPr>
        <w:widowControl/>
        <w:shd w:val="clear" w:color="auto" w:fill="FFFFFF"/>
        <w:outlineLvl w:val="0"/>
        <w:rPr>
          <w:rFonts w:hint="eastAsia" w:eastAsia="仿宋_GB2312"/>
          <w:color w:val="000000"/>
          <w:sz w:val="32"/>
          <w:szCs w:val="32"/>
          <w:lang w:val="en-US" w:eastAsia="zh-CN"/>
        </w:rPr>
      </w:pPr>
      <w:r>
        <w:rPr>
          <w:rFonts w:hint="eastAsia" w:eastAsia="仿宋_GB2312"/>
          <w:color w:val="000000"/>
          <w:sz w:val="32"/>
          <w:szCs w:val="32"/>
          <w:lang w:val="en-US" w:eastAsia="zh-CN"/>
        </w:rPr>
        <w:t>附件3：</w:t>
      </w:r>
      <w:r>
        <w:rPr>
          <w:rFonts w:eastAsia="仿宋_GB2312"/>
          <w:color w:val="000000"/>
          <w:sz w:val="32"/>
          <w:szCs w:val="32"/>
        </w:rPr>
        <w:t>江苏省高校优秀中青年教师境外研修</w:t>
      </w:r>
      <w:r>
        <w:rPr>
          <w:rFonts w:hint="eastAsia" w:eastAsia="仿宋_GB2312"/>
          <w:color w:val="000000"/>
          <w:sz w:val="32"/>
          <w:szCs w:val="32"/>
          <w:lang w:val="en-US" w:eastAsia="zh-CN"/>
        </w:rPr>
        <w:t>外语合格条件</w:t>
      </w:r>
    </w:p>
    <w:p>
      <w:pPr>
        <w:widowControl/>
        <w:shd w:val="clear" w:color="auto" w:fill="FFFFFF"/>
        <w:outlineLvl w:val="0"/>
        <w:rPr>
          <w:rFonts w:eastAsia="仿宋_GB2312"/>
          <w:color w:val="000000"/>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ind w:firstLine="573"/>
        <w:jc w:val="center"/>
        <w:rPr>
          <w:rFonts w:ascii="仿宋_GB2312" w:eastAsia="仿宋_GB2312"/>
          <w:sz w:val="32"/>
          <w:szCs w:val="32"/>
        </w:rPr>
      </w:pPr>
      <w:r>
        <w:rPr>
          <w:rFonts w:hint="eastAsia" w:ascii="仿宋_GB2312" w:eastAsia="仿宋_GB2312"/>
          <w:sz w:val="32"/>
          <w:szCs w:val="32"/>
        </w:rPr>
        <w:t xml:space="preserve">                    </w:t>
      </w:r>
    </w:p>
    <w:p>
      <w:pPr>
        <w:spacing w:line="540" w:lineRule="exact"/>
        <w:ind w:firstLine="573"/>
        <w:jc w:val="center"/>
        <w:rPr>
          <w:rFonts w:eastAsia="仿宋_GB2312"/>
          <w:sz w:val="32"/>
          <w:szCs w:val="32"/>
        </w:rPr>
      </w:pPr>
      <w:r>
        <w:rPr>
          <w:rFonts w:hint="eastAsia" w:ascii="仿宋_GB2312" w:eastAsia="仿宋_GB2312"/>
          <w:sz w:val="32"/>
          <w:szCs w:val="32"/>
        </w:rPr>
        <w:t xml:space="preserve">                             南京艺术学院人事处</w:t>
      </w:r>
    </w:p>
    <w:p>
      <w:pPr>
        <w:spacing w:line="540" w:lineRule="exact"/>
        <w:ind w:firstLine="573"/>
        <w:jc w:val="center"/>
        <w:rPr>
          <w:rFonts w:ascii="仿宋_GB2312" w:eastAsia="仿宋_GB2312"/>
          <w:sz w:val="32"/>
          <w:szCs w:val="32"/>
        </w:rPr>
      </w:pPr>
      <w:r>
        <w:rPr>
          <w:rFonts w:hint="eastAsia" w:eastAsia="仿宋_GB2312"/>
          <w:sz w:val="32"/>
          <w:szCs w:val="32"/>
        </w:rPr>
        <w:t xml:space="preserve">                              </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p/>
    <w:p/>
    <w:p/>
    <w:p/>
    <w:p/>
    <w:p/>
    <w:p/>
    <w:p/>
    <w:p>
      <w:pPr>
        <w:ind w:left="-359" w:leftChars="-171" w:firstLine="640" w:firstLineChars="200"/>
        <w:jc w:val="left"/>
        <w:rPr>
          <w:rFonts w:eastAsia="方正小标宋简体"/>
          <w:sz w:val="32"/>
          <w:szCs w:val="32"/>
        </w:rPr>
      </w:pPr>
    </w:p>
    <w:p>
      <w:pPr>
        <w:ind w:left="-359" w:leftChars="-171" w:firstLine="640" w:firstLineChars="200"/>
        <w:jc w:val="left"/>
        <w:rPr>
          <w:rFonts w:eastAsia="方正小标宋简体"/>
          <w:sz w:val="32"/>
          <w:szCs w:val="32"/>
        </w:rPr>
      </w:pPr>
    </w:p>
    <w:p>
      <w:pPr>
        <w:ind w:left="-359" w:leftChars="-171" w:firstLine="640" w:firstLineChars="200"/>
        <w:jc w:val="left"/>
        <w:rPr>
          <w:rFonts w:eastAsia="方正小标宋简体"/>
          <w:sz w:val="32"/>
          <w:szCs w:val="32"/>
        </w:rPr>
      </w:pPr>
    </w:p>
    <w:p>
      <w:pPr>
        <w:ind w:left="-359" w:leftChars="-171" w:firstLine="640" w:firstLineChars="200"/>
        <w:jc w:val="left"/>
        <w:rPr>
          <w:rFonts w:eastAsia="方正小标宋简体"/>
          <w:sz w:val="32"/>
          <w:szCs w:val="32"/>
        </w:rPr>
      </w:pPr>
    </w:p>
    <w:p>
      <w:pPr>
        <w:ind w:left="-359" w:leftChars="-171" w:firstLine="640" w:firstLineChars="200"/>
        <w:jc w:val="left"/>
        <w:rPr>
          <w:rFonts w:eastAsia="方正小标宋简体"/>
          <w:sz w:val="32"/>
          <w:szCs w:val="32"/>
        </w:rPr>
      </w:pPr>
    </w:p>
    <w:p>
      <w:pPr>
        <w:ind w:left="-359" w:leftChars="-171" w:firstLine="640" w:firstLineChars="200"/>
        <w:jc w:val="left"/>
        <w:rPr>
          <w:rFonts w:eastAsia="方正小标宋简体"/>
          <w:sz w:val="32"/>
          <w:szCs w:val="32"/>
        </w:rPr>
      </w:pPr>
      <w:r>
        <w:rPr>
          <w:rFonts w:eastAsia="方正小标宋简体"/>
          <w:sz w:val="32"/>
          <w:szCs w:val="32"/>
        </w:rPr>
        <w:t>附件</w:t>
      </w:r>
      <w:r>
        <w:rPr>
          <w:rFonts w:hint="eastAsia" w:eastAsia="方正小标宋简体"/>
          <w:sz w:val="32"/>
          <w:szCs w:val="32"/>
        </w:rPr>
        <w:t>1</w:t>
      </w:r>
    </w:p>
    <w:p>
      <w:pPr>
        <w:adjustRightInd w:val="0"/>
        <w:snapToGrid w:val="0"/>
        <w:spacing w:line="360" w:lineRule="auto"/>
        <w:jc w:val="center"/>
        <w:rPr>
          <w:rFonts w:eastAsia="方正小标宋简体"/>
          <w:b/>
          <w:sz w:val="44"/>
          <w:szCs w:val="44"/>
        </w:rPr>
      </w:pPr>
      <w:r>
        <w:rPr>
          <w:rFonts w:eastAsia="方正小标宋简体"/>
          <w:b/>
          <w:sz w:val="44"/>
          <w:szCs w:val="44"/>
        </w:rPr>
        <w:t>江苏省高等学校教师英语培训报名汇总表</w:t>
      </w:r>
    </w:p>
    <w:p>
      <w:pPr>
        <w:adjustRightInd w:val="0"/>
        <w:snapToGrid w:val="0"/>
        <w:spacing w:beforeLines="50" w:afterLines="50"/>
        <w:rPr>
          <w:szCs w:val="21"/>
        </w:rPr>
      </w:pPr>
      <w:r>
        <w:rPr>
          <w:rFonts w:hint="eastAsia"/>
          <w:szCs w:val="21"/>
          <w:lang w:val="en-US" w:eastAsia="zh-CN"/>
        </w:rPr>
        <w:t xml:space="preserve">单位负责人签字：                                          </w:t>
      </w:r>
      <w:r>
        <w:rPr>
          <w:szCs w:val="21"/>
        </w:rPr>
        <w:t>单位：</w:t>
      </w:r>
      <w:r>
        <w:rPr>
          <w:rFonts w:hint="eastAsia"/>
          <w:szCs w:val="21"/>
          <w:lang w:val="en-US" w:eastAsia="zh-CN"/>
        </w:rPr>
        <w:t xml:space="preserve">          </w:t>
      </w:r>
      <w:r>
        <w:rPr>
          <w:szCs w:val="21"/>
        </w:rPr>
        <w:t>（盖章）</w:t>
      </w:r>
    </w:p>
    <w:p>
      <w:pPr>
        <w:adjustRightInd w:val="0"/>
        <w:snapToGrid w:val="0"/>
        <w:spacing w:beforeLines="50" w:afterLines="50"/>
        <w:rPr>
          <w:szCs w:val="21"/>
        </w:rPr>
      </w:pPr>
    </w:p>
    <w:tbl>
      <w:tblPr>
        <w:tblStyle w:val="8"/>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39"/>
        <w:gridCol w:w="1217"/>
        <w:gridCol w:w="1104"/>
        <w:gridCol w:w="1156"/>
        <w:gridCol w:w="2836"/>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rPr>
            </w:pPr>
            <w:r>
              <w:rPr>
                <w:szCs w:val="21"/>
              </w:rPr>
              <w:t>序号</w:t>
            </w: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rPr>
            </w:pPr>
            <w:r>
              <w:rPr>
                <w:szCs w:val="21"/>
              </w:rPr>
              <w:t>所在</w:t>
            </w:r>
            <w:r>
              <w:rPr>
                <w:rFonts w:hint="eastAsia"/>
                <w:szCs w:val="21"/>
              </w:rPr>
              <w:t>单位</w:t>
            </w: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eastAsiaTheme="minorEastAsia"/>
                <w:szCs w:val="21"/>
                <w:lang w:val="en-US" w:eastAsia="zh-CN"/>
              </w:rPr>
            </w:pPr>
            <w:r>
              <w:rPr>
                <w:rFonts w:hint="eastAsia"/>
                <w:szCs w:val="21"/>
                <w:lang w:val="en-US" w:eastAsia="zh-CN"/>
              </w:rPr>
              <w:t>姓名</w:t>
            </w: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default" w:eastAsiaTheme="minorEastAsia"/>
                <w:szCs w:val="21"/>
                <w:lang w:val="en-US" w:eastAsia="zh-CN"/>
              </w:rPr>
            </w:pPr>
            <w:r>
              <w:rPr>
                <w:rFonts w:hint="eastAsia"/>
                <w:szCs w:val="21"/>
                <w:lang w:val="en-US" w:eastAsia="zh-CN"/>
              </w:rPr>
              <w:t>出生年月</w:t>
            </w: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eastAsiaTheme="minorEastAsia"/>
                <w:szCs w:val="21"/>
                <w:lang w:val="en-US" w:eastAsia="zh-CN"/>
              </w:rPr>
            </w:pPr>
            <w:r>
              <w:rPr>
                <w:rFonts w:hint="eastAsia"/>
                <w:szCs w:val="21"/>
                <w:lang w:val="en-US" w:eastAsia="zh-CN"/>
              </w:rPr>
              <w:t>职称</w:t>
            </w: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rPr>
            </w:pPr>
            <w:r>
              <w:rPr>
                <w:szCs w:val="21"/>
              </w:rPr>
              <w:t>身份证号</w:t>
            </w: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eastAsiaTheme="minorEastAsia"/>
                <w:szCs w:val="21"/>
                <w:lang w:eastAsia="zh-CN"/>
              </w:rPr>
            </w:pPr>
            <w:r>
              <w:rPr>
                <w:rFonts w:hint="eastAsia"/>
                <w:szCs w:val="21"/>
                <w:lang w:val="en-US" w:eastAsia="zh-CN"/>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szCs w:val="21"/>
                <w:u w:val="single"/>
                <w:lang w:eastAsia="zh-CN"/>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szCs w:val="21"/>
                <w:u w:val="single"/>
                <w:lang w:eastAsia="zh-CN"/>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szCs w:val="21"/>
                <w:u w:val="single"/>
                <w:lang w:eastAsia="zh-CN"/>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szCs w:val="21"/>
                <w:u w:val="single"/>
                <w:lang w:eastAsia="zh-CN"/>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rFonts w:hint="eastAsia"/>
                <w:szCs w:val="21"/>
                <w:u w:val="single"/>
                <w:lang w:eastAsia="zh-CN"/>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c>
          <w:tcPr>
            <w:tcW w:w="21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afterLines="50"/>
              <w:jc w:val="center"/>
              <w:rPr>
                <w:szCs w:val="21"/>
                <w:u w:val="single"/>
              </w:rPr>
            </w:pPr>
          </w:p>
        </w:tc>
      </w:tr>
    </w:tbl>
    <w:p/>
    <w:p/>
    <w:p>
      <w:pPr>
        <w:widowControl/>
        <w:shd w:val="clear" w:color="auto" w:fill="FFFFFF"/>
        <w:jc w:val="center"/>
        <w:outlineLvl w:val="0"/>
        <w:rPr>
          <w:rFonts w:ascii="黑体" w:hAnsi="黑体" w:eastAsia="黑体" w:cs="宋体"/>
          <w:color w:val="000000"/>
          <w:kern w:val="36"/>
          <w:sz w:val="36"/>
          <w:szCs w:val="36"/>
        </w:rPr>
      </w:pPr>
    </w:p>
    <w:p>
      <w:pPr>
        <w:widowControl/>
        <w:shd w:val="clear" w:color="auto" w:fill="FFFFFF"/>
        <w:jc w:val="center"/>
        <w:outlineLvl w:val="0"/>
        <w:rPr>
          <w:rFonts w:ascii="黑体" w:hAnsi="黑体" w:eastAsia="黑体" w:cs="宋体"/>
          <w:color w:val="000000"/>
          <w:kern w:val="36"/>
          <w:sz w:val="36"/>
          <w:szCs w:val="36"/>
        </w:rPr>
      </w:pPr>
    </w:p>
    <w:p>
      <w:pPr>
        <w:ind w:left="-359" w:leftChars="-171" w:firstLine="640" w:firstLineChars="200"/>
        <w:jc w:val="left"/>
        <w:rPr>
          <w:rFonts w:eastAsia="方正小标宋简体"/>
          <w:sz w:val="32"/>
          <w:szCs w:val="32"/>
        </w:rPr>
      </w:pPr>
    </w:p>
    <w:p>
      <w:pPr>
        <w:ind w:left="-359" w:leftChars="-171" w:firstLine="640" w:firstLineChars="2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r>
        <w:rPr>
          <w:rFonts w:eastAsia="方正小标宋简体"/>
          <w:sz w:val="32"/>
          <w:szCs w:val="32"/>
        </w:rPr>
        <w:t>附件</w:t>
      </w:r>
      <w:r>
        <w:rPr>
          <w:rFonts w:hint="eastAsia" w:eastAsia="方正小标宋简体"/>
          <w:sz w:val="32"/>
          <w:szCs w:val="32"/>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eastAsia="方正小标宋简体" w:asciiTheme="minorHAnsi" w:hAnsiTheme="minorHAnsi" w:cstheme="minorBidi"/>
          <w:b/>
          <w:kern w:val="2"/>
          <w:sz w:val="44"/>
          <w:szCs w:val="44"/>
          <w:lang w:val="en-US" w:eastAsia="zh-CN" w:bidi="ar-SA"/>
        </w:rPr>
      </w:pPr>
      <w:r>
        <w:rPr>
          <w:rFonts w:hint="default" w:eastAsia="方正小标宋简体" w:asciiTheme="minorHAnsi" w:hAnsiTheme="minorHAnsi" w:cstheme="minorBidi"/>
          <w:b/>
          <w:kern w:val="2"/>
          <w:sz w:val="44"/>
          <w:szCs w:val="44"/>
          <w:lang w:val="en-US" w:eastAsia="zh-CN" w:bidi="ar-SA"/>
        </w:rPr>
        <w:t>国家公派出国留学外语合格条件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一、高级研究学者、访问学者及博士后类别申请人，外语水平需达到以下条件之一：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1.参加“全国外语水平考试 (WSK)”并达到合格标准。各语种要求如下：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 英语（PETS5）：笔试总分55分（含）以上，其中听力部分18分（含）以上，口试总分3分（含）以上；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 德语(NTD)：笔试总分65分（含）以上；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 法语(TNF)：笔试总分60分（含）以上；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 日语（NNS）/俄语（ТЛРЯ）：笔试总分60分（含）以上，其中口试总分3分（含）以上。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2.外语专业本科（含）以上毕业（专业语种应与留学目的国使用的语种一致）。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3.近十年内曾在同一语种国家或地区连续留学8个月（含）以上，或连续工作12个月（含）以上，或曾以国家公派高级研究学者身份留学3个月（含）以上。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4.曾在教育部指定出国留学人员培训部参加相应语种培训并获结业证书。各语种要求如下：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 英语：高级班结业证书；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 德语、法语、日语、俄语、西班牙语、意大利语：中级班结业证书。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5.参加雅思、托福、德语、法语、西班牙语、意大利语、日语、韩语水平考试，成绩达到以下标准：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雅思（学术类）6.5分、托福网考95分；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德语、法语、西班牙语、意大利语达到欧洲统一语言参考框架（CECRL）B2级；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日语达到日本语能力测试（JLPT）三级（N3）；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韩语达到TOPIK3级。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6. 赴其他语种（除英语、德语、法语、日语、俄语、西班牙语、意大利语以外）国家留学者，通过国外拟留学单位组织的对该语种的面试或考试等方式达到其语言要求（应在外方邀请信中注明或单独出具证明）。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二、博士研究生、联合培养博士研究生、硕士研究生及联合培养硕士研究生类别申请人，外语水平需达到以下条件之一：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1.外语专业本科（含）以上毕业（专业语种应与留学目的国使用语种一致）。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2.近十年内曾在同一语种国家留学一学年（8-12个月）或连续工作一年（含）以上。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3.参加“全国外语水平考试”（WSK）并达到合格标准。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4.参加雅思（学术类）、托福、德、法、意、西、日、韩语水平考试，成绩达到以下标准：雅思6.5分，托福（IBT）95分，德、法、意、西语达到欧洲统一语言参考框架（CECRL）的B2级，日语达到二级（N2），韩语达到TOPIK4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5.曾在教育部指定出国留学培训部参加相关语种培训并获得结业证书（英语为高级班，其他语种为中级班）。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6.通过国外拟留学单位组织的面试、考试等方式达到其语言要求。应在外方入学通知书（正式邀请信）中注明或单独出具证明，内容须明确具体面试、考试形式及主要内容。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三、本科插班生类别申请人，外语水平需达到以下条件之一：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1.外语专业在读本科二年级（含）以上学生（一外语种应与留学目的国使用语种一致）。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2.曾在同一语种国家留学一学年（8-12个月）以上。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3.参加“全国外语水平考试”（WSK）并达到合格标准。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4.曾在教育部指定出国留学培训部参加相关语种培训并获得结业证书（英语为高级班，其他语种为中级班）。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5.参加雅思（学术类）、托福、德、法、意、西、日、韩语水平考试，成绩达到以下标准：雅思6.5分，托福95分，德、法、意、西语达到欧洲统一语言参考框架（CECRL）的B2级，日语达到二级（N2），韩语达到TOPIK4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6.通过国外拟留学单位组织的面试或笔试达到其语言要求，可在外方邀请信中注明或单独出具证明，须注明考试方式、主考人。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四、关于外语合格条件的说明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2.全国外语水平考试（WSK）的证明材料为全国外语水平考试 (WSK)成绩通知单。考试时间请在每年一月查询教育部考试中心网站 </w:t>
      </w:r>
      <w:r>
        <w:rPr>
          <w:rFonts w:hint="default" w:ascii="Calibri" w:hAnsi="Calibri" w:eastAsia="仿宋_GB2312" w:cs="Times New Roman"/>
          <w:color w:val="000000"/>
          <w:kern w:val="2"/>
          <w:sz w:val="28"/>
          <w:szCs w:val="28"/>
          <w:lang w:val="en-US" w:eastAsia="zh-CN" w:bidi="ar-SA"/>
        </w:rPr>
        <w:fldChar w:fldCharType="begin"/>
      </w:r>
      <w:r>
        <w:rPr>
          <w:rFonts w:hint="default" w:ascii="Calibri" w:hAnsi="Calibri" w:eastAsia="仿宋_GB2312" w:cs="Times New Roman"/>
          <w:color w:val="000000"/>
          <w:kern w:val="2"/>
          <w:sz w:val="28"/>
          <w:szCs w:val="28"/>
          <w:lang w:val="en-US" w:eastAsia="zh-CN" w:bidi="ar-SA"/>
        </w:rPr>
        <w:instrText xml:space="preserve"> HYPERLINK "http://www.neea.edu.cn/" </w:instrText>
      </w:r>
      <w:r>
        <w:rPr>
          <w:rFonts w:hint="default" w:ascii="Calibri" w:hAnsi="Calibri" w:eastAsia="仿宋_GB2312" w:cs="Times New Roman"/>
          <w:color w:val="000000"/>
          <w:kern w:val="2"/>
          <w:sz w:val="28"/>
          <w:szCs w:val="28"/>
          <w:lang w:val="en-US" w:eastAsia="zh-CN" w:bidi="ar-SA"/>
        </w:rPr>
        <w:fldChar w:fldCharType="separate"/>
      </w:r>
      <w:r>
        <w:rPr>
          <w:rFonts w:hint="default" w:ascii="Calibri" w:hAnsi="Calibri" w:eastAsia="仿宋_GB2312" w:cs="Times New Roman"/>
          <w:color w:val="000000"/>
          <w:kern w:val="2"/>
          <w:sz w:val="28"/>
          <w:szCs w:val="28"/>
          <w:lang w:val="en-US" w:eastAsia="zh-CN" w:bidi="ar-SA"/>
        </w:rPr>
        <w:t>www.neea.edu.cn</w:t>
      </w:r>
      <w:r>
        <w:rPr>
          <w:rFonts w:hint="default" w:ascii="Calibri" w:hAnsi="Calibri" w:eastAsia="仿宋_GB2312" w:cs="Times New Roman"/>
          <w:color w:val="000000"/>
          <w:kern w:val="2"/>
          <w:sz w:val="28"/>
          <w:szCs w:val="28"/>
          <w:lang w:val="en-US" w:eastAsia="zh-CN" w:bidi="ar-SA"/>
        </w:rPr>
        <w:fldChar w:fldCharType="end"/>
      </w:r>
      <w:r>
        <w:rPr>
          <w:rFonts w:hint="default" w:ascii="Calibri" w:hAnsi="Calibri" w:eastAsia="仿宋_GB2312" w:cs="Times New Roman"/>
          <w:color w:val="000000"/>
          <w:kern w:val="2"/>
          <w:sz w:val="28"/>
          <w:szCs w:val="28"/>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3.外语专业本科（含）以上毕业的证明材料为学历或学位证书。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5.德语、法语、西班牙语、意大利语达到欧洲统一语言参考框架（CECRL）B2级包括参加相应语种考试并取得等同于CECRL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6.赴非英语国家外语合格条件的说明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7.参加教育部指定出国留学人员培训部外语培训者，由申请人自行联系有关培训部参加培训。各培训部培训语种、联系电话等信息请查阅《</w:t>
      </w:r>
      <w:r>
        <w:rPr>
          <w:rFonts w:hint="default" w:ascii="Calibri" w:hAnsi="Calibri" w:eastAsia="仿宋_GB2312" w:cs="Times New Roman"/>
          <w:color w:val="000000"/>
          <w:kern w:val="2"/>
          <w:sz w:val="28"/>
          <w:szCs w:val="28"/>
          <w:lang w:val="en-US" w:eastAsia="zh-CN" w:bidi="ar-SA"/>
        </w:rPr>
        <w:fldChar w:fldCharType="begin"/>
      </w:r>
      <w:r>
        <w:rPr>
          <w:rFonts w:hint="default" w:ascii="Calibri" w:hAnsi="Calibri" w:eastAsia="仿宋_GB2312" w:cs="Times New Roman"/>
          <w:color w:val="000000"/>
          <w:kern w:val="2"/>
          <w:sz w:val="28"/>
          <w:szCs w:val="28"/>
          <w:lang w:val="en-US" w:eastAsia="zh-CN" w:bidi="ar-SA"/>
        </w:rPr>
        <w:instrText xml:space="preserve"> HYPERLINK "https://www.csc.edu.cn/article/269" </w:instrText>
      </w:r>
      <w:r>
        <w:rPr>
          <w:rFonts w:hint="default" w:ascii="Calibri" w:hAnsi="Calibri" w:eastAsia="仿宋_GB2312" w:cs="Times New Roman"/>
          <w:color w:val="000000"/>
          <w:kern w:val="2"/>
          <w:sz w:val="28"/>
          <w:szCs w:val="28"/>
          <w:lang w:val="en-US" w:eastAsia="zh-CN" w:bidi="ar-SA"/>
        </w:rPr>
        <w:fldChar w:fldCharType="separate"/>
      </w:r>
      <w:r>
        <w:rPr>
          <w:rFonts w:hint="default" w:ascii="Calibri" w:hAnsi="Calibri" w:eastAsia="仿宋_GB2312" w:cs="Times New Roman"/>
          <w:color w:val="000000"/>
          <w:kern w:val="2"/>
          <w:sz w:val="28"/>
          <w:szCs w:val="28"/>
          <w:lang w:val="en-US" w:eastAsia="zh-CN" w:bidi="ar-SA"/>
        </w:rPr>
        <w:t>教育部指定出国留学人员培训部培训语种及联系电话</w:t>
      </w:r>
      <w:r>
        <w:rPr>
          <w:rFonts w:hint="default" w:ascii="Calibri" w:hAnsi="Calibri" w:eastAsia="仿宋_GB2312" w:cs="Times New Roman"/>
          <w:color w:val="000000"/>
          <w:kern w:val="2"/>
          <w:sz w:val="28"/>
          <w:szCs w:val="28"/>
          <w:lang w:val="en-US" w:eastAsia="zh-CN" w:bidi="ar-SA"/>
        </w:rPr>
        <w:fldChar w:fldCharType="end"/>
      </w:r>
      <w:r>
        <w:rPr>
          <w:rFonts w:hint="default" w:ascii="Calibri" w:hAnsi="Calibri" w:eastAsia="仿宋_GB2312" w:cs="Times New Roman"/>
          <w:color w:val="000000"/>
          <w:kern w:val="2"/>
          <w:sz w:val="28"/>
          <w:szCs w:val="28"/>
          <w:lang w:val="en-US" w:eastAsia="zh-CN" w:bidi="ar-SA"/>
        </w:rPr>
        <w:t>》。培训前，申请人需参加有关培训部组织的水平测试，并根据测试结果安排相应级别的培训。参加英语高级班培训的人员，须参加全国统一结业考试。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eastAsia" w:ascii="Calibri" w:hAnsi="Calibri" w:eastAsia="仿宋_GB2312" w:cs="Times New Roman"/>
          <w:color w:val="000000"/>
          <w:kern w:val="2"/>
          <w:sz w:val="28"/>
          <w:szCs w:val="28"/>
          <w:lang w:val="en-US" w:eastAsia="zh-CN" w:bidi="ar-SA"/>
        </w:rPr>
      </w:pPr>
      <w:r>
        <w:rPr>
          <w:rFonts w:hint="default" w:ascii="Calibri" w:hAnsi="Calibri" w:eastAsia="仿宋_GB2312" w:cs="Times New Roman"/>
          <w:color w:val="000000"/>
          <w:kern w:val="2"/>
          <w:sz w:val="28"/>
          <w:szCs w:val="28"/>
          <w:lang w:val="en-US" w:eastAsia="zh-CN" w:bidi="ar-SA"/>
        </w:rPr>
        <w:t>8.项目有具体要求的，以各项目选派办法为准。</w:t>
      </w:r>
    </w:p>
    <w:p/>
    <w:p/>
    <w:p/>
    <w:p/>
    <w:p/>
    <w:p/>
    <w:p/>
    <w:p/>
    <w:p/>
    <w:p/>
    <w:p/>
    <w:p/>
    <w:p/>
    <w:p/>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eastAsia="方正小标宋简体"/>
          <w:sz w:val="32"/>
          <w:szCs w:val="32"/>
        </w:rPr>
      </w:pPr>
    </w:p>
    <w:p>
      <w:pPr>
        <w:ind w:firstLine="320" w:firstLineChars="100"/>
        <w:jc w:val="left"/>
        <w:rPr>
          <w:rFonts w:hint="eastAsia" w:eastAsia="方正小标宋简体"/>
          <w:sz w:val="32"/>
          <w:szCs w:val="32"/>
          <w:lang w:val="en-US" w:eastAsia="zh-CN"/>
        </w:rPr>
      </w:pPr>
      <w:r>
        <w:rPr>
          <w:rFonts w:eastAsia="方正小标宋简体"/>
          <w:sz w:val="32"/>
          <w:szCs w:val="32"/>
        </w:rPr>
        <w:t>附件</w:t>
      </w:r>
      <w:r>
        <w:rPr>
          <w:rFonts w:hint="eastAsia" w:eastAsia="方正小标宋简体"/>
          <w:sz w:val="32"/>
          <w:szCs w:val="32"/>
          <w:lang w:val="en-US" w:eastAsia="zh-CN"/>
        </w:rPr>
        <w:t>3</w:t>
      </w:r>
    </w:p>
    <w:p>
      <w:pPr>
        <w:spacing w:line="560" w:lineRule="exact"/>
        <w:jc w:val="center"/>
        <w:rPr>
          <w:rFonts w:ascii="Times New Roman" w:hAnsi="华文中宋" w:eastAsia="华文中宋"/>
          <w:b/>
          <w:sz w:val="44"/>
          <w:szCs w:val="44"/>
        </w:rPr>
      </w:pPr>
      <w:r>
        <w:rPr>
          <w:rFonts w:ascii="Times New Roman" w:hAnsi="华文中宋" w:eastAsia="华文中宋"/>
          <w:b/>
          <w:sz w:val="44"/>
          <w:szCs w:val="44"/>
        </w:rPr>
        <w:t>江苏省高校优秀中青年教师境外研修</w:t>
      </w:r>
    </w:p>
    <w:p>
      <w:pPr>
        <w:spacing w:line="560" w:lineRule="exact"/>
        <w:jc w:val="center"/>
        <w:rPr>
          <w:rFonts w:hint="eastAsia" w:ascii="Times New Roman" w:hAnsi="华文中宋" w:eastAsia="华文中宋"/>
          <w:b/>
          <w:sz w:val="44"/>
          <w:szCs w:val="44"/>
          <w:lang w:val="en-US" w:eastAsia="zh-CN"/>
        </w:rPr>
      </w:pPr>
      <w:r>
        <w:rPr>
          <w:rFonts w:hint="eastAsia" w:ascii="Times New Roman" w:hAnsi="华文中宋" w:eastAsia="华文中宋"/>
          <w:b/>
          <w:sz w:val="44"/>
          <w:szCs w:val="44"/>
          <w:lang w:val="en-US" w:eastAsia="zh-CN"/>
        </w:rPr>
        <w:t>外语合格条件</w:t>
      </w:r>
    </w:p>
    <w:p>
      <w:pPr>
        <w:spacing w:line="560" w:lineRule="exact"/>
        <w:jc w:val="center"/>
        <w:rPr>
          <w:rFonts w:hint="eastAsia" w:ascii="Times New Roman" w:hAnsi="华文中宋" w:eastAsia="华文中宋"/>
          <w:b/>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default" w:ascii="Calibri" w:hAnsi="Calibri" w:eastAsia="仿宋_GB2312" w:cs="Times New Roman"/>
          <w:color w:val="000000"/>
          <w:kern w:val="2"/>
          <w:sz w:val="28"/>
          <w:szCs w:val="28"/>
          <w:lang w:val="en-US" w:eastAsia="zh-CN" w:bidi="ar-SA"/>
        </w:rPr>
      </w:pPr>
      <w:r>
        <w:rPr>
          <w:rFonts w:hint="eastAsia" w:ascii="Calibri" w:hAnsi="Calibri" w:eastAsia="仿宋_GB2312" w:cs="Times New Roman"/>
          <w:color w:val="000000"/>
          <w:kern w:val="2"/>
          <w:sz w:val="28"/>
          <w:szCs w:val="28"/>
          <w:lang w:val="en-US" w:eastAsia="zh-CN" w:bidi="ar-SA"/>
        </w:rPr>
        <w:t>1.参加“全国外语水平考试 (WSK)”并达到合格标准，成绩有效期为两年。各语种合格标准如下，英语（PETS5）：笔试总分50分（含）以上，其中口试总分2分（含）以上；日语（NNS）/俄语（ТЛРЯ）：笔试总分55分（含）以上，其中口试总分2分（含）以上；德语(NTD)：笔试总分55分（含）以上；法语(TNF)：笔试总分55分（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default" w:ascii="Calibri" w:hAnsi="Calibri" w:eastAsia="仿宋_GB2312" w:cs="Times New Roman"/>
          <w:color w:val="000000"/>
          <w:kern w:val="2"/>
          <w:sz w:val="28"/>
          <w:szCs w:val="28"/>
          <w:lang w:val="en-US" w:eastAsia="zh-CN" w:bidi="ar-SA"/>
        </w:rPr>
      </w:pPr>
      <w:r>
        <w:rPr>
          <w:rFonts w:hint="eastAsia" w:ascii="Calibri" w:hAnsi="Calibri" w:eastAsia="仿宋_GB2312" w:cs="Times New Roman"/>
          <w:color w:val="000000"/>
          <w:kern w:val="2"/>
          <w:sz w:val="28"/>
          <w:szCs w:val="28"/>
          <w:lang w:val="en-US" w:eastAsia="zh-CN" w:bidi="ar-SA"/>
        </w:rPr>
        <w:t>2.外语专业本科及以上毕业（专业语种应与留学目的国使用的语种一致，英语专业不限）。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default" w:ascii="Calibri" w:hAnsi="Calibri" w:eastAsia="仿宋_GB2312" w:cs="Times New Roman"/>
          <w:color w:val="000000"/>
          <w:kern w:val="2"/>
          <w:sz w:val="28"/>
          <w:szCs w:val="28"/>
          <w:lang w:val="en-US" w:eastAsia="zh-CN" w:bidi="ar-SA"/>
        </w:rPr>
      </w:pPr>
      <w:r>
        <w:rPr>
          <w:rFonts w:hint="eastAsia" w:ascii="Calibri" w:hAnsi="Calibri" w:eastAsia="仿宋_GB2312" w:cs="Times New Roman"/>
          <w:color w:val="000000"/>
          <w:kern w:val="2"/>
          <w:sz w:val="28"/>
          <w:szCs w:val="28"/>
          <w:lang w:val="en-US" w:eastAsia="zh-CN" w:bidi="ar-SA"/>
        </w:rPr>
        <w:t>3.近十年内曾在同一语种国家留学一学年（9-12个月）或连续工作一年（含）以上。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default" w:ascii="Calibri" w:hAnsi="Calibri" w:eastAsia="仿宋_GB2312" w:cs="Times New Roman"/>
          <w:color w:val="000000"/>
          <w:kern w:val="2"/>
          <w:sz w:val="28"/>
          <w:szCs w:val="28"/>
          <w:lang w:val="en-US" w:eastAsia="zh-CN" w:bidi="ar-SA"/>
        </w:rPr>
      </w:pPr>
      <w:r>
        <w:rPr>
          <w:rFonts w:hint="eastAsia" w:ascii="Calibri" w:hAnsi="Calibri" w:eastAsia="仿宋_GB2312" w:cs="Times New Roman"/>
          <w:color w:val="000000"/>
          <w:kern w:val="2"/>
          <w:sz w:val="28"/>
          <w:szCs w:val="28"/>
          <w:lang w:val="en-US" w:eastAsia="zh-CN" w:bidi="ar-SA"/>
        </w:rPr>
        <w:t>4.曾在教育部指定出国留学人员培训部参加相应语种培训并获结业证书（结业证书两年内有效）。英语：高级班结业证书；法语、日语、西班牙语、意大利语、俄语：中级班结业证书；德/英语（针对拟赴德语国家从事理工专业研究人员）：德语初级班结业证书、英语高级班结业证书；德语（针对拟赴德语国家从事社科专业研究人员）：中级班结业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default" w:ascii="Calibri" w:hAnsi="Calibri" w:eastAsia="仿宋_GB2312" w:cs="Times New Roman"/>
          <w:color w:val="000000"/>
          <w:kern w:val="2"/>
          <w:sz w:val="28"/>
          <w:szCs w:val="28"/>
          <w:lang w:val="en-US" w:eastAsia="zh-CN" w:bidi="ar-SA"/>
        </w:rPr>
      </w:pPr>
      <w:r>
        <w:rPr>
          <w:rFonts w:hint="eastAsia" w:ascii="Calibri" w:hAnsi="Calibri" w:eastAsia="仿宋_GB2312" w:cs="Times New Roman"/>
          <w:color w:val="000000"/>
          <w:kern w:val="2"/>
          <w:sz w:val="28"/>
          <w:szCs w:val="28"/>
          <w:lang w:val="en-US" w:eastAsia="zh-CN" w:bidi="ar-SA"/>
        </w:rPr>
        <w:t>5.参加雅思（学术类）、托福、德、法、意、西、日、韩语水平考试者，成绩有效期为两年，成绩达到以下标准：雅思5.5分，托福61分，德、法、意、西语达到欧洲统一语言参考框架（CECRL）的B1级，日语达到二级（N2），韩语达到TOPIK3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both"/>
        <w:textAlignment w:val="auto"/>
        <w:rPr>
          <w:rFonts w:hint="default" w:ascii="Calibri" w:hAnsi="Calibri" w:eastAsia="仿宋_GB2312" w:cs="Times New Roman"/>
          <w:color w:val="000000"/>
          <w:kern w:val="2"/>
          <w:sz w:val="28"/>
          <w:szCs w:val="28"/>
          <w:lang w:val="en-US" w:eastAsia="zh-CN" w:bidi="ar-SA"/>
        </w:rPr>
      </w:pPr>
      <w:r>
        <w:rPr>
          <w:rFonts w:hint="eastAsia" w:ascii="Calibri" w:hAnsi="Calibri" w:eastAsia="仿宋_GB2312" w:cs="Times New Roman"/>
          <w:color w:val="000000"/>
          <w:kern w:val="2"/>
          <w:sz w:val="28"/>
          <w:szCs w:val="28"/>
          <w:lang w:val="en-US" w:eastAsia="zh-CN" w:bidi="ar-SA"/>
        </w:rPr>
        <w:t>6.对申请到港澳台地区研修的，需符合英语成绩要求。</w:t>
      </w:r>
    </w:p>
    <w:p>
      <w:pPr>
        <w:jc w:val="left"/>
        <w:rPr>
          <w:rFonts w:eastAsia="方正小标宋简体"/>
          <w:sz w:val="32"/>
          <w:szCs w:val="32"/>
        </w:rPr>
      </w:pPr>
    </w:p>
    <w:sectPr>
      <w:headerReference r:id="rId3" w:type="firs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46F8D"/>
    <w:rsid w:val="4D8A26C8"/>
    <w:rsid w:val="76F90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480" w:lineRule="atLeast"/>
      <w:ind w:firstLine="600"/>
    </w:pPr>
    <w:rPr>
      <w:rFonts w:ascii="Times New Roman" w:hAnsi="Times New Roman" w:eastAsia="仿宋_GB2312" w:cs="Times New Roman"/>
      <w:color w:val="FF6600"/>
      <w:sz w:val="28"/>
    </w:rPr>
  </w:style>
  <w:style w:type="paragraph" w:styleId="4">
    <w:name w:val="Balloon Text"/>
    <w:basedOn w:val="1"/>
    <w:link w:val="14"/>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uiPriority w:val="0"/>
    <w:rPr>
      <w:color w:val="0000FF"/>
      <w:u w:val="single"/>
    </w:rPr>
  </w:style>
  <w:style w:type="character" w:customStyle="1" w:styleId="13">
    <w:name w:val="正文文本缩进 Char"/>
    <w:basedOn w:val="9"/>
    <w:link w:val="3"/>
    <w:uiPriority w:val="0"/>
    <w:rPr>
      <w:rFonts w:ascii="Times New Roman" w:hAnsi="Times New Roman" w:eastAsia="仿宋_GB2312" w:cs="Times New Roman"/>
      <w:color w:val="FF6600"/>
      <w:kern w:val="2"/>
      <w:sz w:val="28"/>
      <w:szCs w:val="24"/>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5</Pages>
  <Words>332</Words>
  <Characters>1897</Characters>
  <Lines>15</Lines>
  <Paragraphs>4</Paragraphs>
  <TotalTime>1</TotalTime>
  <ScaleCrop>false</ScaleCrop>
  <LinksUpToDate>false</LinksUpToDate>
  <CharactersWithSpaces>2225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2018-04-12T16:38:00Z</dcterms:created>
  <dc:creator>rsc</dc:creator>
  <cp:lastModifiedBy>happilyspirit</cp:lastModifiedBy>
  <cp:lastPrinted>2020-08-31T08:18:27Z</cp:lastPrinted>
  <dcterms:modified xsi:type="dcterms:W3CDTF">2020-08-31T08:26:59Z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